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74" w:rsidRDefault="00D04B74" w:rsidP="00D04B74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ОТЧЁТ О РАБОТЕ</w:t>
      </w:r>
    </w:p>
    <w:p w:rsidR="00D04B74" w:rsidRDefault="00D04B74" w:rsidP="00D04B74">
      <w:pPr>
        <w:ind w:firstLine="709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комиссии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</w:t>
      </w:r>
      <w:r w:rsidRPr="00D04B74">
        <w:rPr>
          <w:b/>
          <w:sz w:val="32"/>
          <w:szCs w:val="32"/>
        </w:rPr>
        <w:t xml:space="preserve">социальным вопросам и </w:t>
      </w:r>
    </w:p>
    <w:p w:rsidR="00D04B74" w:rsidRDefault="00D04B74" w:rsidP="00D04B74">
      <w:pPr>
        <w:ind w:firstLine="709"/>
        <w:jc w:val="center"/>
        <w:rPr>
          <w:b/>
          <w:sz w:val="28"/>
        </w:rPr>
      </w:pPr>
      <w:r w:rsidRPr="00D04B74">
        <w:rPr>
          <w:b/>
          <w:sz w:val="32"/>
          <w:szCs w:val="32"/>
        </w:rPr>
        <w:t>общественному контролю</w:t>
      </w:r>
      <w:r>
        <w:rPr>
          <w:b/>
          <w:sz w:val="28"/>
        </w:rPr>
        <w:t xml:space="preserve"> </w:t>
      </w:r>
    </w:p>
    <w:p w:rsidR="00D04B74" w:rsidRDefault="00D04B74" w:rsidP="00D04B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Профкома работников Федерального государственного</w:t>
      </w:r>
    </w:p>
    <w:p w:rsidR="00D04B74" w:rsidRDefault="00D04B74" w:rsidP="00D04B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автономного образовательного</w:t>
      </w:r>
    </w:p>
    <w:p w:rsidR="00D04B74" w:rsidRDefault="00D04B74" w:rsidP="00D04B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учреждения высшего образования</w:t>
      </w:r>
    </w:p>
    <w:p w:rsidR="00D04B74" w:rsidRDefault="00D04B74" w:rsidP="00D04B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«КРЫМСКИЙ ФЕДЕРАЛЬНЫЙ УНИВЕРСИТЕТ</w:t>
      </w:r>
    </w:p>
    <w:p w:rsidR="00D04B74" w:rsidRDefault="00D04B74" w:rsidP="00D04B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имени В. И. ВЕРНАДСКОГО»</w:t>
      </w:r>
    </w:p>
    <w:p w:rsidR="00D04B74" w:rsidRDefault="00D04B74" w:rsidP="00D04B7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 2019 г.</w:t>
      </w:r>
    </w:p>
    <w:p w:rsidR="00D04B74" w:rsidRPr="00D04B74" w:rsidRDefault="00D04B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0784" w:rsidRDefault="00D04B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по социальным вопросам и общественному контролю профкома работников </w:t>
      </w:r>
      <w:r>
        <w:rPr>
          <w:rStyle w:val="FontStyle11"/>
          <w:sz w:val="28"/>
          <w:szCs w:val="28"/>
        </w:rPr>
        <w:t>ФГАОУ ВО «Крымский федеральный университет имени В. И. Вернадского» в отчетном периоде входили:</w:t>
      </w:r>
    </w:p>
    <w:p w:rsidR="00020784" w:rsidRDefault="00D04B74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>
        <w:rPr>
          <w:color w:val="141412"/>
          <w:sz w:val="28"/>
          <w:szCs w:val="28"/>
          <w:lang w:eastAsia="ru-RU"/>
        </w:rPr>
        <w:t xml:space="preserve">Чмелёва Светлана Ивановна – </w:t>
      </w:r>
      <w:r>
        <w:rPr>
          <w:b/>
          <w:color w:val="141412"/>
          <w:sz w:val="28"/>
          <w:szCs w:val="28"/>
          <w:lang w:eastAsia="ru-RU"/>
        </w:rPr>
        <w:t>председатель комиссии</w:t>
      </w:r>
      <w:r>
        <w:rPr>
          <w:color w:val="141412"/>
          <w:sz w:val="28"/>
          <w:szCs w:val="28"/>
          <w:lang w:eastAsia="ru-RU"/>
        </w:rPr>
        <w:t xml:space="preserve">, кандидат биологических </w:t>
      </w:r>
      <w:r>
        <w:rPr>
          <w:color w:val="141412"/>
          <w:sz w:val="28"/>
          <w:szCs w:val="28"/>
          <w:lang w:eastAsia="ru-RU"/>
        </w:rPr>
        <w:t>наук, доцент, доцент кафедры ботаники и физиологии растений и биотехнологий Таврической академии.</w:t>
      </w:r>
    </w:p>
    <w:p w:rsidR="00020784" w:rsidRDefault="00D04B74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>
        <w:rPr>
          <w:color w:val="141412"/>
          <w:sz w:val="28"/>
          <w:szCs w:val="28"/>
          <w:lang w:eastAsia="ru-RU"/>
        </w:rPr>
        <w:t>Дементьева Ирина Анатольевна – специалист профкома работников Академии строительства и архитектуры, ведущий специалист по УМР факультета водных ресурсов и эне</w:t>
      </w:r>
      <w:r>
        <w:rPr>
          <w:color w:val="141412"/>
          <w:sz w:val="28"/>
          <w:szCs w:val="28"/>
          <w:lang w:eastAsia="ru-RU"/>
        </w:rPr>
        <w:t>ргетики.</w:t>
      </w:r>
    </w:p>
    <w:p w:rsidR="00020784" w:rsidRDefault="00D04B74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>
        <w:rPr>
          <w:color w:val="141412"/>
          <w:sz w:val="28"/>
          <w:szCs w:val="28"/>
          <w:lang w:eastAsia="ru-RU"/>
        </w:rPr>
        <w:t>Заячникова Татьяна Валентиновна – председатель профкома работников Медицинского биофизического центра, директор Медицинского биофизического центра, заместитель председателя Клинического медицинского многопрофильного центра Святителя Луки, кандидат</w:t>
      </w:r>
      <w:r>
        <w:rPr>
          <w:color w:val="141412"/>
          <w:sz w:val="28"/>
          <w:szCs w:val="28"/>
          <w:lang w:eastAsia="ru-RU"/>
        </w:rPr>
        <w:t xml:space="preserve"> биологических наук.</w:t>
      </w:r>
    </w:p>
    <w:p w:rsidR="00020784" w:rsidRDefault="00D04B74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>
        <w:rPr>
          <w:color w:val="141412"/>
          <w:sz w:val="28"/>
          <w:szCs w:val="28"/>
          <w:lang w:eastAsia="ru-RU"/>
        </w:rPr>
        <w:t>Остапенко Ирина Николаевна – член профкома работников Института экономики и управления, доцент, доцент кафедры бизнес-информатики и математического моделирования.</w:t>
      </w:r>
    </w:p>
    <w:p w:rsidR="00020784" w:rsidRDefault="00D04B74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141412"/>
          <w:sz w:val="28"/>
          <w:szCs w:val="28"/>
          <w:lang w:eastAsia="ru-RU"/>
        </w:rPr>
      </w:pPr>
      <w:r>
        <w:rPr>
          <w:color w:val="141412"/>
          <w:sz w:val="28"/>
          <w:szCs w:val="28"/>
          <w:lang w:eastAsia="ru-RU"/>
        </w:rPr>
        <w:t>Хорошун Валентина Анатольевна – член профкома работников Медицинского ко</w:t>
      </w:r>
      <w:r>
        <w:rPr>
          <w:color w:val="141412"/>
          <w:sz w:val="28"/>
          <w:szCs w:val="28"/>
          <w:lang w:eastAsia="ru-RU"/>
        </w:rPr>
        <w:t>лледжа, преподаватель.</w:t>
      </w:r>
    </w:p>
    <w:p w:rsidR="00020784" w:rsidRDefault="00D04B74">
      <w:pPr>
        <w:numPr>
          <w:ilvl w:val="0"/>
          <w:numId w:val="1"/>
        </w:numPr>
        <w:shd w:val="clear" w:color="auto" w:fill="FFFFFF"/>
        <w:tabs>
          <w:tab w:val="clear" w:pos="720"/>
          <w:tab w:val="left" w:pos="1418"/>
        </w:tabs>
        <w:suppressAutoHyphens w:val="0"/>
        <w:spacing w:line="360" w:lineRule="auto"/>
        <w:ind w:left="0" w:firstLine="709"/>
        <w:jc w:val="both"/>
        <w:rPr>
          <w:rStyle w:val="FontStyle11"/>
          <w:b/>
          <w:bCs/>
          <w:color w:val="141412"/>
          <w:sz w:val="28"/>
          <w:szCs w:val="28"/>
          <w:lang w:eastAsia="ru-RU"/>
        </w:rPr>
      </w:pPr>
      <w:r>
        <w:rPr>
          <w:color w:val="141412"/>
          <w:sz w:val="28"/>
          <w:szCs w:val="28"/>
          <w:lang w:eastAsia="ru-RU"/>
        </w:rPr>
        <w:t>Хрипунова Лариса Дмитриевна – заместитель председателя профкома работников Медицинской академии им. С. И. Георгиевского, доцент, преподаватель кафедры физвоспитания и реабилитации стоматологического факультета.</w:t>
      </w:r>
    </w:p>
    <w:p w:rsidR="00020784" w:rsidRDefault="00D04B74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color w:val="141412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В течение отчетного </w:t>
      </w:r>
      <w:r>
        <w:rPr>
          <w:sz w:val="28"/>
          <w:szCs w:val="28"/>
        </w:rPr>
        <w:t>периода комиссия по социальным вопросам и общественному контролю осуществляла свою деятельность в соответствии с Коллективным договором на 2015–2017 гг. Федерального государственного автономного образовательного учреждения высшего образования «Крымский фед</w:t>
      </w:r>
      <w:r>
        <w:rPr>
          <w:sz w:val="28"/>
          <w:szCs w:val="28"/>
        </w:rPr>
        <w:t>еральный университет имени В.И. Вернадского» (с изменениями и дополнениями) и планом работы комиссии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20784" w:rsidRDefault="00D04B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велась систематически. За отчетный период все поступающие вопросы рассматривались оперативно и принимались соответствующие реш</w:t>
      </w:r>
      <w:r>
        <w:rPr>
          <w:sz w:val="28"/>
          <w:szCs w:val="28"/>
        </w:rPr>
        <w:t>ения.</w:t>
      </w:r>
    </w:p>
    <w:p w:rsidR="00020784" w:rsidRDefault="00D04B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по социальным вопросам и общественному контролю в 2018 году являлись следующие: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взаимодействия с органами управления образованием и работодателями в рамках социального партнерства и усиление со</w:t>
      </w:r>
      <w:r>
        <w:rPr>
          <w:sz w:val="28"/>
          <w:szCs w:val="28"/>
        </w:rPr>
        <w:t>вместной работы в процессе переговоров по заключению Коллективного договора и соглашений, их корректировке с целью обеспечения реализации: указов Президента Российской Федерации от 7 мая 2012 г. №597 «О мероприятиях по реализации государственной социальной</w:t>
      </w:r>
      <w:r>
        <w:rPr>
          <w:sz w:val="28"/>
          <w:szCs w:val="28"/>
        </w:rPr>
        <w:t xml:space="preserve"> политики» и №599 «О мерах по реализации государственной политики в области образования и науки»; государственной программы Российской Федерации «Развитие образования» на период до 2020 года; Концепции развития дополнительного образования детей; Основ госу</w:t>
      </w:r>
      <w:r>
        <w:rPr>
          <w:sz w:val="28"/>
          <w:szCs w:val="28"/>
        </w:rPr>
        <w:t>дарственной молодежной политики Российской Федерации до 2025 года; Отраслевого соглашения по организациям, находящимся в ведении Министерства образования и науки на 2018- 2020 гг.; Республиканское Соглашение между Министерством образования, науки и молодеж</w:t>
      </w:r>
      <w:r>
        <w:rPr>
          <w:sz w:val="28"/>
          <w:szCs w:val="28"/>
        </w:rPr>
        <w:t>и Республики Крым и Крымской республиканской организации Общероссийского профсоюза образования на 2018-2020 гг.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членов профсоюза с новыми направлениями деятельности Рескома по социальной защите, включающими организацию дополнительных видов стр</w:t>
      </w:r>
      <w:r>
        <w:rPr>
          <w:sz w:val="28"/>
          <w:szCs w:val="28"/>
        </w:rPr>
        <w:t xml:space="preserve">ахования, негосударственного пенсионного </w:t>
      </w:r>
      <w:r>
        <w:rPr>
          <w:sz w:val="28"/>
          <w:szCs w:val="28"/>
        </w:rPr>
        <w:lastRenderedPageBreak/>
        <w:t xml:space="preserve">обеспечения, участие в дисконтных программах, ипотечном кредитовании. Работники банка РНКБ проводили разъяснительную работу и оказывали необходимую помощь во всех структурных подразделениях КФУ им. В.И.Вернадского, </w:t>
      </w:r>
      <w:r>
        <w:rPr>
          <w:sz w:val="28"/>
          <w:szCs w:val="28"/>
        </w:rPr>
        <w:t>а также, по просьбе членов комиссии, оказывали точечные консультации.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ассортиментом и качеством питания, соблюдением правилами торговли при осуществлении деятельности Комбината питания.</w:t>
      </w:r>
    </w:p>
    <w:p w:rsidR="00020784" w:rsidRDefault="00D04B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продуктов питания незначительно, но обновлялся</w:t>
      </w:r>
      <w:r>
        <w:rPr>
          <w:sz w:val="28"/>
          <w:szCs w:val="28"/>
        </w:rPr>
        <w:t>, также не было выявлено в течение отчетного периода нарушений в соблюдении правил торговли.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проведением медицинских осмотров работников университета в соответствии с условиями Коллективного договора. За период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>все работники КФУ им</w:t>
      </w:r>
      <w:r>
        <w:rPr>
          <w:sz w:val="28"/>
          <w:szCs w:val="28"/>
        </w:rPr>
        <w:t>. В.И.Вернадского прошли профилактический медицинский осмотр в соответствии с законодательством (за счет средств работодателя – п.7.14</w:t>
      </w:r>
      <w:r>
        <w:rPr>
          <w:sz w:val="28"/>
          <w:szCs w:val="28"/>
        </w:rPr>
        <w:t xml:space="preserve"> Коллективного договора</w:t>
      </w:r>
      <w:r>
        <w:rPr>
          <w:sz w:val="28"/>
          <w:szCs w:val="28"/>
        </w:rPr>
        <w:t>).</w:t>
      </w:r>
      <w:r>
        <w:rPr>
          <w:sz w:val="28"/>
          <w:szCs w:val="28"/>
        </w:rPr>
        <w:t xml:space="preserve"> В настоящее время составлен план, согласно которому все работники Крымского федерального универс</w:t>
      </w:r>
      <w:r>
        <w:rPr>
          <w:sz w:val="28"/>
          <w:szCs w:val="28"/>
        </w:rPr>
        <w:t>итета будут проходить профилактичский медицинский осмотр в 2010 году на базе Клинического медицинского многопрофильного центра Святителя  Луки.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многодетными семьями, материями – одиночками, лицами с ограниченными физическими возможностями. Одной и</w:t>
      </w:r>
      <w:r>
        <w:rPr>
          <w:sz w:val="28"/>
          <w:szCs w:val="28"/>
        </w:rPr>
        <w:t xml:space="preserve">з важных задач комиссии по социальным вопросам </w:t>
      </w:r>
      <w:r>
        <w:rPr>
          <w:sz w:val="28"/>
          <w:szCs w:val="28"/>
        </w:rPr>
        <w:t xml:space="preserve">и общественного контроля </w:t>
      </w:r>
      <w:r>
        <w:rPr>
          <w:sz w:val="28"/>
          <w:szCs w:val="28"/>
        </w:rPr>
        <w:t>является предоставление членам нашего трудового коллектива консультативной помощи по вопросам отпусков и осуществления контроля за соблюдением действующего законодательства.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дети р</w:t>
      </w:r>
      <w:r>
        <w:rPr>
          <w:sz w:val="28"/>
          <w:szCs w:val="28"/>
        </w:rPr>
        <w:t>аботников КФУ, имеющие детей до 14 лет были включены в список на получение кондитерских изделий к Новому году.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Профсоюза работников 06 февраля 2019 в Крымском федеральном университете им. В. И. Вернадского состоялся сеанс одновременной игры в</w:t>
      </w:r>
      <w:r>
        <w:rPr>
          <w:sz w:val="28"/>
          <w:szCs w:val="28"/>
        </w:rPr>
        <w:t xml:space="preserve"> шахматы международного гроссмейстера Айрапетяна </w:t>
      </w:r>
      <w:r>
        <w:rPr>
          <w:sz w:val="28"/>
          <w:szCs w:val="28"/>
        </w:rPr>
        <w:lastRenderedPageBreak/>
        <w:t>Юрия Рачиковича со студентами, преподавателями КФУ им. В. И. Вернадского. В мероприятии приняли участие: депутат Государственного Совета Республики Крым Додонов Сергей Владимирович, заведующий отделом управл</w:t>
      </w:r>
      <w:r>
        <w:rPr>
          <w:sz w:val="28"/>
          <w:szCs w:val="28"/>
        </w:rPr>
        <w:t>ения молодежи, спорта и туризма администрации города Симферополя Караваев Владимир Владимирович, проректор по социальной и молодежной политике Бубнов Евгений Григорьевич, преподаватели и студенты Крымского федерального университета.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eastAsia="Source Sans Pro"/>
          <w:color w:val="141412"/>
          <w:sz w:val="28"/>
          <w:szCs w:val="28"/>
        </w:rPr>
      </w:pPr>
      <w:r>
        <w:rPr>
          <w:rFonts w:eastAsia="Source Sans Pro"/>
          <w:color w:val="141412"/>
          <w:sz w:val="28"/>
          <w:szCs w:val="28"/>
          <w:shd w:val="clear" w:color="auto" w:fill="FFFFFF"/>
        </w:rPr>
        <w:t>9 мая 2019 года, по сло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жившейся традиции,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принимали участие в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установ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лении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Знам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ени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Победы на наивысшей точке Чатыр-Дага  Эклизи-Бурун (1527м).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eastAsia="Source Sans Pro"/>
          <w:color w:val="141412"/>
          <w:sz w:val="28"/>
          <w:szCs w:val="28"/>
        </w:rPr>
      </w:pPr>
      <w:r>
        <w:rPr>
          <w:rFonts w:eastAsia="Source Sans Pro"/>
          <w:color w:val="141412"/>
          <w:sz w:val="28"/>
          <w:szCs w:val="28"/>
          <w:shd w:val="clear" w:color="auto" w:fill="FFFFFF"/>
        </w:rPr>
        <w:t>1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0.04.2019 года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провели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в КФУ им. В. И. Вернадского (по адресу проспект Вернадского, 4)  мероприятие по пропаганде физкультуры и спорта и здорового образа жизни, посвященное Всемирному Дню здоровья, приуроченное к проведению Всероссийской акции «Будь здоров». Мероприятие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было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ор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ганизовано комиссией Профкома работников КФУ по социальным вопросам и общественному контролю, отделом спортивно-физкультурной и оздоровительной работы Департамента по социально-воспитательной работе и волонтерами–медиками Медицинской академии им. С.И. Геор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гиевского.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Каждому желающему помогли составить правильный рацион питания, измерить уровень глюкозы в крови и артериальное давление, провели мастер-класс по оказанию первой помощи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.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В спортивно-физкультурном мероприятии приняли участие порядка двухсот студен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тов и сотрудников университета. Сотрудники университета задали тон в проведении оздоровительной гимнастики.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eastAsia="Source Sans Pro"/>
          <w:color w:val="141412"/>
          <w:sz w:val="28"/>
          <w:szCs w:val="28"/>
        </w:rPr>
      </w:pP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01.10.2019 года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принимали участие в организации торжественного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 мероприяти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я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, посвященно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го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Международному дню пожилых людей.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Работа с молодежью по ге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роико-патриотическому воспитанию должна быть системной, глубоко продуманной и убедительной, основанной на героических примерах наших дедов и прадедов, отстоявших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lastRenderedPageBreak/>
        <w:t>мир на Земле.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Ветераны Великой Отечественной войны, бывшие несовершеннолетние узники фашистски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х концлагерей с благодарностью отозвались о проведенном мероприятии.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eastAsia="Source Sans Pro"/>
          <w:color w:val="14141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Принимали участие в организации и проведении мероприятий, по </w:t>
      </w:r>
      <w:r>
        <w:rPr>
          <w:rStyle w:val="FontStyle11"/>
          <w:color w:val="000000" w:themeColor="text1"/>
          <w:sz w:val="28"/>
          <w:szCs w:val="28"/>
        </w:rPr>
        <w:t xml:space="preserve">чествованию ветеранов труда КФУ в рамках плана мероприятий, посвященных </w:t>
      </w:r>
      <w:r>
        <w:rPr>
          <w:color w:val="000000" w:themeColor="text1"/>
          <w:sz w:val="28"/>
          <w:szCs w:val="28"/>
        </w:rPr>
        <w:t>празднованию 10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-летия со дня основания первого </w:t>
      </w:r>
      <w:r>
        <w:rPr>
          <w:color w:val="000000" w:themeColor="text1"/>
          <w:sz w:val="28"/>
          <w:szCs w:val="28"/>
        </w:rPr>
        <w:t>университета в Крыму.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eastAsia="Source Sans Pro"/>
          <w:color w:val="14141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Принимали участие в организации и проведении выставки  «Души прекрасные порывы», </w:t>
      </w:r>
      <w:r>
        <w:rPr>
          <w:rStyle w:val="FontStyle11"/>
          <w:color w:val="000000" w:themeColor="text1"/>
          <w:sz w:val="28"/>
          <w:szCs w:val="28"/>
        </w:rPr>
        <w:t xml:space="preserve">посвященной </w:t>
      </w:r>
      <w:r>
        <w:rPr>
          <w:color w:val="000000" w:themeColor="text1"/>
          <w:sz w:val="28"/>
          <w:szCs w:val="28"/>
        </w:rPr>
        <w:t>празднованию 10</w:t>
      </w:r>
      <w:r>
        <w:rPr>
          <w:color w:val="000000" w:themeColor="text1"/>
          <w:sz w:val="28"/>
          <w:szCs w:val="28"/>
        </w:rPr>
        <w:t>1 годовщине</w:t>
      </w:r>
      <w:r>
        <w:rPr>
          <w:color w:val="000000" w:themeColor="text1"/>
          <w:sz w:val="28"/>
          <w:szCs w:val="28"/>
        </w:rPr>
        <w:t xml:space="preserve"> со дня основания первого университета в Крыму.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rFonts w:eastAsia="Source Sans Pro"/>
          <w:color w:val="141412"/>
          <w:sz w:val="28"/>
          <w:szCs w:val="28"/>
        </w:rPr>
      </w:pPr>
      <w:r>
        <w:rPr>
          <w:rFonts w:eastAsia="Source Sans Pro"/>
          <w:color w:val="141412"/>
          <w:sz w:val="28"/>
          <w:szCs w:val="28"/>
          <w:shd w:val="clear" w:color="auto" w:fill="FFFFFF"/>
        </w:rPr>
        <w:t>15.10.2019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г.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К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омисс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ия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по социальным вопросам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и общественному конт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ролю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Профкома Крымского федерального университета им.В.И. Вернадского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совместно со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студент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ами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первых курсов Крымского федерального университета им. В.И. Вернадского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 спровели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заседание Всероссийского общественного движения «Волонтеры Победы». На заседании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было принято решение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 создать эффективную структуру взаимодействия между подразделениями Крымского федерального университета им. В.И. Вернадского и Советами ветеранов Республики Крым и г. Симферополя.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.11.2019 г.</w:t>
      </w:r>
      <w:r>
        <w:rPr>
          <w:sz w:val="28"/>
          <w:szCs w:val="28"/>
        </w:rPr>
        <w:t xml:space="preserve"> в Крымском федеральном университете им. В</w:t>
      </w:r>
      <w:r>
        <w:rPr>
          <w:sz w:val="28"/>
          <w:szCs w:val="28"/>
        </w:rPr>
        <w:t xml:space="preserve">. И. Вернадского </w:t>
      </w:r>
      <w:r>
        <w:rPr>
          <w:sz w:val="28"/>
          <w:szCs w:val="28"/>
        </w:rPr>
        <w:t xml:space="preserve">принимали участие в организации и проведении </w:t>
      </w:r>
      <w:r>
        <w:rPr>
          <w:sz w:val="28"/>
          <w:szCs w:val="28"/>
        </w:rPr>
        <w:t>шахматн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турнир «Крымский Гамбит» 2019, посвященный 75-летию Великой Победы .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В турнире приняли участие юнармейцы 25 муниципальных образований РК , а также студенты ФГАОУ ВО «Крымский федеральн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 xml:space="preserve">ый университет им. В.И. Вернадского» – «Волонтеры Победы» КФУ . Первый ход сделали :  Депутат Государственной Думы Российской Федерации Шеремет М. С. и  международный гроссмейстер Айрапетян Ю. Р. .Студенты и школьники посвятили турнир Великой Победе и как </w:t>
      </w:r>
      <w:r>
        <w:rPr>
          <w:rFonts w:eastAsia="Source Sans Pro"/>
          <w:color w:val="141412"/>
          <w:sz w:val="28"/>
          <w:szCs w:val="28"/>
          <w:shd w:val="clear" w:color="auto" w:fill="FFFFFF"/>
        </w:rPr>
        <w:t>«Волонтеры Победы» КФУ соревновались между собой.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Оказывалась благотворительная помощь детям Строгановского детского дома. За счет благотворительных взносов работников Крымского федерального университета, детям были закуплены новогодние подарки, памперсы. </w:t>
      </w:r>
      <w:r>
        <w:rPr>
          <w:sz w:val="28"/>
          <w:szCs w:val="28"/>
        </w:rPr>
        <w:t>Студенты и преподаватели исторического факультета ТА подготовили и представили новогоднюю сказку «Снежная королева».</w:t>
      </w:r>
    </w:p>
    <w:p w:rsidR="00020784" w:rsidRDefault="00D04B74">
      <w:pPr>
        <w:pStyle w:val="1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организации благотворительной помощи «Симферопольскому пансионату для престарелых и инвалидов».</w:t>
      </w:r>
    </w:p>
    <w:p w:rsidR="00020784" w:rsidRDefault="00D04B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</w:t>
      </w:r>
      <w:r>
        <w:rPr>
          <w:sz w:val="28"/>
          <w:szCs w:val="28"/>
        </w:rPr>
        <w:t>ветствии с Коллективным договором и планом работы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течение года велась работа по выполнению условий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оллективного договора: оказывалась консультация  работникам, состоящим в профсоюзе по социальным вопросам.</w:t>
      </w:r>
    </w:p>
    <w:p w:rsidR="00020784" w:rsidRDefault="00D04B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комиссии по социальным </w:t>
      </w:r>
      <w:r>
        <w:rPr>
          <w:sz w:val="28"/>
          <w:szCs w:val="28"/>
        </w:rPr>
        <w:t>вопросам и общественному контролю профкома работников Крымского федерального университета имени В. И. Вернадского в целом, выполнен.</w:t>
      </w:r>
    </w:p>
    <w:p w:rsidR="00020784" w:rsidRDefault="00020784">
      <w:pPr>
        <w:spacing w:line="360" w:lineRule="auto"/>
        <w:ind w:firstLine="709"/>
        <w:jc w:val="both"/>
        <w:rPr>
          <w:sz w:val="28"/>
          <w:szCs w:val="28"/>
        </w:rPr>
      </w:pPr>
    </w:p>
    <w:p w:rsidR="00020784" w:rsidRDefault="00D04B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социальным вопросам и общественному контролю профкома работников </w:t>
      </w:r>
    </w:p>
    <w:p w:rsidR="00020784" w:rsidRDefault="00D04B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ФГАОУ ВО «Крымский федеральный университет имени </w:t>
      </w:r>
    </w:p>
    <w:p w:rsidR="00020784" w:rsidRDefault="00D04B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 И. Вернадского»                                                                           С. И.  Чмелева </w:t>
      </w:r>
    </w:p>
    <w:p w:rsidR="00020784" w:rsidRDefault="00020784">
      <w:pPr>
        <w:spacing w:line="360" w:lineRule="auto"/>
        <w:ind w:left="-1080"/>
        <w:rPr>
          <w:sz w:val="28"/>
          <w:szCs w:val="28"/>
        </w:rPr>
      </w:pPr>
    </w:p>
    <w:p w:rsidR="00020784" w:rsidRDefault="00020784">
      <w:pPr>
        <w:ind w:left="-1080"/>
      </w:pPr>
    </w:p>
    <w:p w:rsidR="00020784" w:rsidRDefault="00020784"/>
    <w:sectPr w:rsidR="00020784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B74">
      <w:r>
        <w:separator/>
      </w:r>
    </w:p>
  </w:endnote>
  <w:endnote w:type="continuationSeparator" w:id="0">
    <w:p w:rsidR="00000000" w:rsidRDefault="00D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B74">
      <w:r>
        <w:separator/>
      </w:r>
    </w:p>
  </w:footnote>
  <w:footnote w:type="continuationSeparator" w:id="0">
    <w:p w:rsidR="00000000" w:rsidRDefault="00D0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244548"/>
    </w:sdtPr>
    <w:sdtEndPr/>
    <w:sdtContent>
      <w:p w:rsidR="00020784" w:rsidRDefault="00D04B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0784" w:rsidRDefault="000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473794"/>
    </w:sdtPr>
    <w:sdtEndPr/>
    <w:sdtContent>
      <w:p w:rsidR="00020784" w:rsidRDefault="00D04B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0784" w:rsidRDefault="000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E87"/>
    <w:multiLevelType w:val="multilevel"/>
    <w:tmpl w:val="2A361E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6FEB"/>
    <w:multiLevelType w:val="multilevel"/>
    <w:tmpl w:val="63556F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27"/>
    <w:rsid w:val="0000291B"/>
    <w:rsid w:val="00020784"/>
    <w:rsid w:val="000B3CAF"/>
    <w:rsid w:val="000D5E2E"/>
    <w:rsid w:val="00104959"/>
    <w:rsid w:val="00147F9A"/>
    <w:rsid w:val="00196870"/>
    <w:rsid w:val="002020DD"/>
    <w:rsid w:val="00267F8A"/>
    <w:rsid w:val="00290EEE"/>
    <w:rsid w:val="00294427"/>
    <w:rsid w:val="002B49D9"/>
    <w:rsid w:val="003E58DC"/>
    <w:rsid w:val="00450D05"/>
    <w:rsid w:val="004F1E80"/>
    <w:rsid w:val="004F4E17"/>
    <w:rsid w:val="00536168"/>
    <w:rsid w:val="005C774F"/>
    <w:rsid w:val="00694EBC"/>
    <w:rsid w:val="006B1AB5"/>
    <w:rsid w:val="006C67EA"/>
    <w:rsid w:val="00734131"/>
    <w:rsid w:val="007F3D8E"/>
    <w:rsid w:val="00880482"/>
    <w:rsid w:val="008B3EB8"/>
    <w:rsid w:val="00942722"/>
    <w:rsid w:val="00A73EF8"/>
    <w:rsid w:val="00AC70F6"/>
    <w:rsid w:val="00AD27DF"/>
    <w:rsid w:val="00B0426D"/>
    <w:rsid w:val="00B44CB4"/>
    <w:rsid w:val="00B848B2"/>
    <w:rsid w:val="00BB2F77"/>
    <w:rsid w:val="00C2736A"/>
    <w:rsid w:val="00C5139A"/>
    <w:rsid w:val="00C75585"/>
    <w:rsid w:val="00C8496D"/>
    <w:rsid w:val="00C9387F"/>
    <w:rsid w:val="00CA44C7"/>
    <w:rsid w:val="00CA767A"/>
    <w:rsid w:val="00CC20D7"/>
    <w:rsid w:val="00CF2B9D"/>
    <w:rsid w:val="00D04B74"/>
    <w:rsid w:val="00D76D77"/>
    <w:rsid w:val="00DC2152"/>
    <w:rsid w:val="00E01639"/>
    <w:rsid w:val="00E02020"/>
    <w:rsid w:val="00E20A83"/>
    <w:rsid w:val="00E60A0F"/>
    <w:rsid w:val="00F243E1"/>
    <w:rsid w:val="00F72A9F"/>
    <w:rsid w:val="04643C59"/>
    <w:rsid w:val="0E9307E7"/>
    <w:rsid w:val="1D370509"/>
    <w:rsid w:val="1D8D3D3F"/>
    <w:rsid w:val="1EBC2DC9"/>
    <w:rsid w:val="222534E0"/>
    <w:rsid w:val="34FB4A3A"/>
    <w:rsid w:val="3F5B2863"/>
    <w:rsid w:val="436D465C"/>
    <w:rsid w:val="487C464A"/>
    <w:rsid w:val="4C6A582A"/>
    <w:rsid w:val="4F8C17B7"/>
    <w:rsid w:val="5B07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pPr>
      <w:keepNext/>
      <w:suppressAutoHyphens w:val="0"/>
      <w:spacing w:after="200" w:line="276" w:lineRule="auto"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Normal (Web)"/>
    <w:uiPriority w:val="99"/>
    <w:unhideWhenUsed/>
    <w:qFormat/>
    <w:pPr>
      <w:spacing w:after="360"/>
    </w:pPr>
    <w:rPr>
      <w:sz w:val="24"/>
      <w:szCs w:val="24"/>
      <w:lang w:val="en-US" w:eastAsia="zh-CN"/>
    </w:rPr>
  </w:style>
  <w:style w:type="character" w:styleId="HTML">
    <w:name w:val="HTML Sample"/>
    <w:basedOn w:val="a0"/>
    <w:uiPriority w:val="99"/>
    <w:unhideWhenUsed/>
    <w:rPr>
      <w:rFonts w:ascii="serif" w:eastAsia="serif" w:hAnsi="serif" w:cs="serif"/>
      <w:sz w:val="21"/>
      <w:szCs w:val="21"/>
      <w:shd w:val="clear" w:color="auto" w:fill="E8E5CE"/>
    </w:rPr>
  </w:style>
  <w:style w:type="character" w:styleId="a8">
    <w:name w:val="FollowedHyperlink"/>
    <w:basedOn w:val="a0"/>
    <w:uiPriority w:val="99"/>
    <w:unhideWhenUsed/>
    <w:rPr>
      <w:color w:val="AC0404"/>
      <w:u w:val="none"/>
    </w:rPr>
  </w:style>
  <w:style w:type="character" w:styleId="a9">
    <w:name w:val="Hyperlink"/>
    <w:basedOn w:val="a0"/>
    <w:uiPriority w:val="99"/>
    <w:unhideWhenUsed/>
    <w:rPr>
      <w:color w:val="CA3C08"/>
      <w:u w:val="none"/>
    </w:rPr>
  </w:style>
  <w:style w:type="character" w:styleId="HTML0">
    <w:name w:val="HTML Keyboard"/>
    <w:basedOn w:val="a0"/>
    <w:uiPriority w:val="99"/>
    <w:unhideWhenUsed/>
    <w:rPr>
      <w:rFonts w:ascii="serif" w:eastAsia="serif" w:hAnsi="serif" w:cs="serif" w:hint="default"/>
      <w:sz w:val="21"/>
      <w:szCs w:val="21"/>
    </w:rPr>
  </w:style>
  <w:style w:type="character" w:styleId="HTML1">
    <w:name w:val="HTML Code"/>
    <w:basedOn w:val="a0"/>
    <w:uiPriority w:val="99"/>
    <w:unhideWhenUsed/>
    <w:rPr>
      <w:rFonts w:ascii="serif" w:eastAsia="serif" w:hAnsi="serif" w:cs="serif" w:hint="default"/>
      <w:color w:val="EA9629"/>
      <w:sz w:val="21"/>
      <w:szCs w:val="21"/>
    </w:rPr>
  </w:style>
  <w:style w:type="character" w:styleId="HTML2">
    <w:name w:val="HTML Definition"/>
    <w:basedOn w:val="a0"/>
    <w:uiPriority w:val="99"/>
    <w:unhideWhenUsed/>
    <w:rPr>
      <w:i/>
      <w:iCs/>
    </w:rPr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FontStyle11">
    <w:name w:val="Font Style11"/>
    <w:qFormat/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0">
    <w:name w:val="_Style 0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next1">
    <w:name w:val="next1"/>
    <w:rPr>
      <w:u w:val="none"/>
      <w:bdr w:val="single" w:sz="6" w:space="0" w:color="DDDDDD"/>
    </w:rPr>
  </w:style>
  <w:style w:type="character" w:customStyle="1" w:styleId="page-numbers">
    <w:name w:val="page-numbers"/>
    <w:rPr>
      <w:u w:val="none"/>
      <w:bdr w:val="single" w:sz="6" w:space="0" w:color="DDDDDD"/>
    </w:rPr>
  </w:style>
  <w:style w:type="character" w:customStyle="1" w:styleId="prev1">
    <w:name w:val="prev1"/>
    <w:rPr>
      <w:u w:val="none"/>
      <w:bdr w:val="single" w:sz="6" w:space="0" w:color="DDDDDD"/>
    </w:rPr>
  </w:style>
  <w:style w:type="paragraph" w:styleId="ab">
    <w:name w:val="Balloon Text"/>
    <w:basedOn w:val="a"/>
    <w:link w:val="ac"/>
    <w:uiPriority w:val="99"/>
    <w:semiHidden/>
    <w:unhideWhenUsed/>
    <w:rsid w:val="00D04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B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pPr>
      <w:keepNext/>
      <w:suppressAutoHyphens w:val="0"/>
      <w:spacing w:after="200" w:line="276" w:lineRule="auto"/>
      <w:jc w:val="center"/>
      <w:outlineLvl w:val="1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Normal (Web)"/>
    <w:uiPriority w:val="99"/>
    <w:unhideWhenUsed/>
    <w:qFormat/>
    <w:pPr>
      <w:spacing w:after="360"/>
    </w:pPr>
    <w:rPr>
      <w:sz w:val="24"/>
      <w:szCs w:val="24"/>
      <w:lang w:val="en-US" w:eastAsia="zh-CN"/>
    </w:rPr>
  </w:style>
  <w:style w:type="character" w:styleId="HTML">
    <w:name w:val="HTML Sample"/>
    <w:basedOn w:val="a0"/>
    <w:uiPriority w:val="99"/>
    <w:unhideWhenUsed/>
    <w:rPr>
      <w:rFonts w:ascii="serif" w:eastAsia="serif" w:hAnsi="serif" w:cs="serif"/>
      <w:sz w:val="21"/>
      <w:szCs w:val="21"/>
      <w:shd w:val="clear" w:color="auto" w:fill="E8E5CE"/>
    </w:rPr>
  </w:style>
  <w:style w:type="character" w:styleId="a8">
    <w:name w:val="FollowedHyperlink"/>
    <w:basedOn w:val="a0"/>
    <w:uiPriority w:val="99"/>
    <w:unhideWhenUsed/>
    <w:rPr>
      <w:color w:val="AC0404"/>
      <w:u w:val="none"/>
    </w:rPr>
  </w:style>
  <w:style w:type="character" w:styleId="a9">
    <w:name w:val="Hyperlink"/>
    <w:basedOn w:val="a0"/>
    <w:uiPriority w:val="99"/>
    <w:unhideWhenUsed/>
    <w:rPr>
      <w:color w:val="CA3C08"/>
      <w:u w:val="none"/>
    </w:rPr>
  </w:style>
  <w:style w:type="character" w:styleId="HTML0">
    <w:name w:val="HTML Keyboard"/>
    <w:basedOn w:val="a0"/>
    <w:uiPriority w:val="99"/>
    <w:unhideWhenUsed/>
    <w:rPr>
      <w:rFonts w:ascii="serif" w:eastAsia="serif" w:hAnsi="serif" w:cs="serif" w:hint="default"/>
      <w:sz w:val="21"/>
      <w:szCs w:val="21"/>
    </w:rPr>
  </w:style>
  <w:style w:type="character" w:styleId="HTML1">
    <w:name w:val="HTML Code"/>
    <w:basedOn w:val="a0"/>
    <w:uiPriority w:val="99"/>
    <w:unhideWhenUsed/>
    <w:rPr>
      <w:rFonts w:ascii="serif" w:eastAsia="serif" w:hAnsi="serif" w:cs="serif" w:hint="default"/>
      <w:color w:val="EA9629"/>
      <w:sz w:val="21"/>
      <w:szCs w:val="21"/>
    </w:rPr>
  </w:style>
  <w:style w:type="character" w:styleId="HTML2">
    <w:name w:val="HTML Definition"/>
    <w:basedOn w:val="a0"/>
    <w:uiPriority w:val="99"/>
    <w:unhideWhenUsed/>
    <w:rPr>
      <w:i/>
      <w:iCs/>
    </w:rPr>
  </w:style>
  <w:style w:type="character" w:styleId="aa">
    <w:name w:val="Strong"/>
    <w:basedOn w:val="a0"/>
    <w:uiPriority w:val="22"/>
    <w:qFormat/>
    <w:rPr>
      <w:b/>
      <w:bCs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FontStyle11">
    <w:name w:val="Font Style11"/>
    <w:qFormat/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0">
    <w:name w:val="_Style 0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next1">
    <w:name w:val="next1"/>
    <w:rPr>
      <w:u w:val="none"/>
      <w:bdr w:val="single" w:sz="6" w:space="0" w:color="DDDDDD"/>
    </w:rPr>
  </w:style>
  <w:style w:type="character" w:customStyle="1" w:styleId="page-numbers">
    <w:name w:val="page-numbers"/>
    <w:rPr>
      <w:u w:val="none"/>
      <w:bdr w:val="single" w:sz="6" w:space="0" w:color="DDDDDD"/>
    </w:rPr>
  </w:style>
  <w:style w:type="character" w:customStyle="1" w:styleId="prev1">
    <w:name w:val="prev1"/>
    <w:rPr>
      <w:u w:val="none"/>
      <w:bdr w:val="single" w:sz="6" w:space="0" w:color="DDDDDD"/>
    </w:rPr>
  </w:style>
  <w:style w:type="paragraph" w:styleId="ab">
    <w:name w:val="Balloon Text"/>
    <w:basedOn w:val="a"/>
    <w:link w:val="ac"/>
    <w:uiPriority w:val="99"/>
    <w:semiHidden/>
    <w:unhideWhenUsed/>
    <w:rsid w:val="00D04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B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0CB2E-5B2A-4C04-8499-A204651E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Профком</cp:lastModifiedBy>
  <cp:revision>18</cp:revision>
  <dcterms:created xsi:type="dcterms:W3CDTF">2015-12-15T18:52:00Z</dcterms:created>
  <dcterms:modified xsi:type="dcterms:W3CDTF">2020-02-05T13:33:00Z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